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F2" w:rsidRDefault="00E544F2" w:rsidP="00275507">
      <w:pPr>
        <w:spacing w:after="0" w:line="240" w:lineRule="auto"/>
        <w:ind w:left="6379"/>
        <w:jc w:val="center"/>
        <w:rPr>
          <w:b/>
          <w:color w:val="000000"/>
          <w:lang w:val="ru-RU"/>
        </w:rPr>
      </w:pPr>
      <w:bookmarkStart w:id="0" w:name="z78"/>
      <w:r w:rsidRPr="00B23A68">
        <w:rPr>
          <w:color w:val="000000"/>
          <w:sz w:val="20"/>
          <w:lang w:val="ru-RU"/>
        </w:rPr>
        <w:t>Приложение 1</w:t>
      </w:r>
      <w:r w:rsidRPr="00B23A68">
        <w:rPr>
          <w:lang w:val="ru-RU"/>
        </w:rPr>
        <w:br/>
      </w:r>
      <w:r w:rsidRPr="00B23A68">
        <w:rPr>
          <w:color w:val="000000"/>
          <w:sz w:val="20"/>
          <w:lang w:val="ru-RU"/>
        </w:rPr>
        <w:t>к Правилам присвоения</w:t>
      </w:r>
      <w:r w:rsidRPr="00B23A68">
        <w:rPr>
          <w:lang w:val="ru-RU"/>
        </w:rPr>
        <w:br/>
      </w:r>
      <w:r w:rsidRPr="00B23A68">
        <w:rPr>
          <w:color w:val="000000"/>
          <w:sz w:val="20"/>
          <w:lang w:val="ru-RU"/>
        </w:rPr>
        <w:t>ученых званий (ассоциированный</w:t>
      </w:r>
      <w:r w:rsidRPr="00B23A68">
        <w:rPr>
          <w:lang w:val="ru-RU"/>
        </w:rPr>
        <w:br/>
      </w:r>
      <w:r w:rsidRPr="00B23A68">
        <w:rPr>
          <w:color w:val="000000"/>
          <w:sz w:val="20"/>
          <w:lang w:val="ru-RU"/>
        </w:rPr>
        <w:t>профессор (доцент), профессор)</w:t>
      </w:r>
    </w:p>
    <w:p w:rsidR="00E544F2" w:rsidRDefault="00E544F2" w:rsidP="00275507">
      <w:pPr>
        <w:spacing w:after="0" w:line="240" w:lineRule="auto"/>
        <w:jc w:val="center"/>
        <w:rPr>
          <w:b/>
          <w:color w:val="000000"/>
          <w:lang w:val="ru-RU"/>
        </w:rPr>
      </w:pPr>
    </w:p>
    <w:p w:rsidR="00E544F2" w:rsidRDefault="00E544F2" w:rsidP="00275507">
      <w:pPr>
        <w:spacing w:after="0" w:line="240" w:lineRule="auto"/>
        <w:jc w:val="center"/>
        <w:rPr>
          <w:b/>
          <w:color w:val="000000"/>
          <w:lang w:val="ru-RU"/>
        </w:rPr>
      </w:pPr>
    </w:p>
    <w:p w:rsidR="00CD0095" w:rsidRPr="00B40B63" w:rsidRDefault="00CD0095" w:rsidP="00275507">
      <w:pPr>
        <w:spacing w:after="0" w:line="240" w:lineRule="auto"/>
        <w:jc w:val="center"/>
        <w:rPr>
          <w:sz w:val="24"/>
          <w:szCs w:val="24"/>
          <w:lang w:val="ru-RU"/>
        </w:rPr>
      </w:pPr>
      <w:r w:rsidRPr="00B40B63"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:rsidR="00CD0095" w:rsidRPr="00B40B63" w:rsidRDefault="00D15161" w:rsidP="00275507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B40B63">
        <w:rPr>
          <w:color w:val="000000"/>
          <w:sz w:val="24"/>
          <w:szCs w:val="24"/>
          <w:lang w:val="ru-RU"/>
        </w:rPr>
        <w:t>о</w:t>
      </w:r>
      <w:r w:rsidR="00CD0095" w:rsidRPr="00B40B63">
        <w:rPr>
          <w:color w:val="000000"/>
          <w:sz w:val="24"/>
          <w:szCs w:val="24"/>
          <w:lang w:val="ru-RU"/>
        </w:rPr>
        <w:t xml:space="preserve"> соискателе ученого звания</w:t>
      </w:r>
      <w:r w:rsidRPr="00B40B63">
        <w:rPr>
          <w:color w:val="000000"/>
          <w:sz w:val="24"/>
          <w:szCs w:val="24"/>
          <w:lang w:val="ru-RU"/>
        </w:rPr>
        <w:t xml:space="preserve"> </w:t>
      </w:r>
      <w:r w:rsidR="00275507" w:rsidRPr="00B40B63">
        <w:rPr>
          <w:color w:val="000000"/>
          <w:sz w:val="24"/>
          <w:szCs w:val="24"/>
          <w:lang w:val="ru-RU"/>
        </w:rPr>
        <w:t>ассоциированный профессор (доцент)</w:t>
      </w:r>
      <w:r w:rsidR="00CD0095" w:rsidRPr="00B40B63">
        <w:rPr>
          <w:sz w:val="24"/>
          <w:szCs w:val="24"/>
          <w:lang w:val="ru-RU"/>
        </w:rPr>
        <w:br/>
      </w:r>
      <w:r w:rsidRPr="00B40B63">
        <w:rPr>
          <w:color w:val="000000"/>
          <w:sz w:val="24"/>
          <w:szCs w:val="24"/>
          <w:lang w:val="ru-RU"/>
        </w:rPr>
        <w:t>п</w:t>
      </w:r>
      <w:r w:rsidR="00CD0095" w:rsidRPr="00B40B63">
        <w:rPr>
          <w:color w:val="000000"/>
          <w:sz w:val="24"/>
          <w:szCs w:val="24"/>
          <w:lang w:val="ru-RU"/>
        </w:rPr>
        <w:t xml:space="preserve">о </w:t>
      </w:r>
      <w:r w:rsidR="00275507" w:rsidRPr="00B40B63">
        <w:rPr>
          <w:color w:val="000000"/>
          <w:sz w:val="24"/>
          <w:szCs w:val="24"/>
          <w:lang w:val="ru-RU"/>
        </w:rPr>
        <w:t>направлению 20500 Инжиниринг материалов</w:t>
      </w:r>
      <w:r w:rsidR="00CD0095" w:rsidRPr="00B40B63">
        <w:rPr>
          <w:color w:val="000000"/>
          <w:sz w:val="24"/>
          <w:szCs w:val="24"/>
          <w:lang w:val="ru-RU"/>
        </w:rPr>
        <w:t xml:space="preserve"> </w:t>
      </w:r>
      <w:r w:rsidR="00275507" w:rsidRPr="00B40B63">
        <w:rPr>
          <w:color w:val="000000"/>
          <w:sz w:val="24"/>
          <w:szCs w:val="24"/>
          <w:lang w:val="ru-RU"/>
        </w:rPr>
        <w:t>(20505</w:t>
      </w:r>
      <w:r w:rsidR="00A904DC" w:rsidRPr="00B40B63">
        <w:rPr>
          <w:color w:val="000000"/>
          <w:sz w:val="24"/>
          <w:szCs w:val="24"/>
          <w:lang w:val="ru-RU"/>
        </w:rPr>
        <w:t xml:space="preserve"> –</w:t>
      </w:r>
      <w:r w:rsidR="00A904DC" w:rsidRPr="00B40B63">
        <w:rPr>
          <w:sz w:val="24"/>
          <w:szCs w:val="24"/>
          <w:lang w:val="ru-RU"/>
        </w:rPr>
        <w:t xml:space="preserve"> Металлургия</w:t>
      </w:r>
      <w:r w:rsidR="00275507" w:rsidRPr="00B40B63">
        <w:rPr>
          <w:sz w:val="24"/>
          <w:szCs w:val="24"/>
          <w:lang w:val="ru-RU"/>
        </w:rPr>
        <w:t>)</w:t>
      </w:r>
      <w:r w:rsidR="00A904DC" w:rsidRPr="00B40B63">
        <w:rPr>
          <w:sz w:val="24"/>
          <w:szCs w:val="24"/>
          <w:lang w:val="ru-RU"/>
        </w:rPr>
        <w:t xml:space="preserve"> </w:t>
      </w:r>
      <w:r w:rsidR="00CD0095" w:rsidRPr="00B40B63">
        <w:rPr>
          <w:sz w:val="24"/>
          <w:szCs w:val="24"/>
          <w:lang w:val="ru-RU"/>
        </w:rPr>
        <w:br/>
      </w:r>
      <w:r w:rsidR="00CD0095" w:rsidRPr="00B40B63">
        <w:rPr>
          <w:color w:val="000000"/>
          <w:sz w:val="24"/>
          <w:szCs w:val="24"/>
          <w:vertAlign w:val="superscript"/>
          <w:lang w:val="ru-RU"/>
        </w:rPr>
        <w:t>(шифр и наименование специальности)</w:t>
      </w:r>
    </w:p>
    <w:p w:rsidR="00275507" w:rsidRPr="00275507" w:rsidRDefault="00275507" w:rsidP="00275507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421"/>
        <w:gridCol w:w="3969"/>
        <w:gridCol w:w="5245"/>
      </w:tblGrid>
      <w:tr w:rsidR="004A7C63" w:rsidTr="003867FB">
        <w:trPr>
          <w:trHeight w:val="495"/>
        </w:trPr>
        <w:tc>
          <w:tcPr>
            <w:tcW w:w="421" w:type="dxa"/>
            <w:vAlign w:val="center"/>
          </w:tcPr>
          <w:p w:rsidR="004A7C63" w:rsidRDefault="004A7C63" w:rsidP="003867F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9" w:type="dxa"/>
            <w:vAlign w:val="center"/>
          </w:tcPr>
          <w:p w:rsidR="004A7C63" w:rsidRPr="00E544F2" w:rsidRDefault="004A7C63" w:rsidP="003867F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245" w:type="dxa"/>
            <w:vAlign w:val="center"/>
          </w:tcPr>
          <w:p w:rsidR="004A7C63" w:rsidRPr="00E544F2" w:rsidRDefault="004A7C63" w:rsidP="003867F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Ниценко Алина Владимировна</w:t>
            </w:r>
          </w:p>
        </w:tc>
      </w:tr>
      <w:tr w:rsidR="004A7C63" w:rsidTr="003867FB">
        <w:tc>
          <w:tcPr>
            <w:tcW w:w="421" w:type="dxa"/>
          </w:tcPr>
          <w:p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</w:tcPr>
          <w:p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Ученая степень (кандидата наук, доктора наук, доктора философии (</w:t>
            </w:r>
            <w:r w:rsidRPr="00E544F2">
              <w:rPr>
                <w:color w:val="000000"/>
                <w:sz w:val="20"/>
                <w:szCs w:val="20"/>
              </w:rPr>
              <w:t>PhD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E544F2">
              <w:rPr>
                <w:color w:val="000000"/>
                <w:sz w:val="20"/>
                <w:szCs w:val="20"/>
              </w:rPr>
              <w:t>PhD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E544F2">
              <w:rPr>
                <w:color w:val="000000"/>
                <w:sz w:val="20"/>
                <w:szCs w:val="20"/>
              </w:rPr>
              <w:t>PhD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>), доктора по профилю, дата присуждения</w:t>
            </w:r>
          </w:p>
        </w:tc>
        <w:tc>
          <w:tcPr>
            <w:tcW w:w="5245" w:type="dxa"/>
            <w:vAlign w:val="center"/>
          </w:tcPr>
          <w:p w:rsidR="004A7C63" w:rsidRPr="00E544F2" w:rsidRDefault="004A7C63" w:rsidP="005A05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544F2">
              <w:rPr>
                <w:sz w:val="20"/>
                <w:szCs w:val="20"/>
                <w:lang w:val="ru-RU"/>
              </w:rPr>
              <w:t>Кандидат технических наук,</w:t>
            </w:r>
          </w:p>
          <w:p w:rsidR="004A7C63" w:rsidRPr="00E544F2" w:rsidRDefault="004A7C63" w:rsidP="005A05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Pr="00E544F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июня</w:t>
            </w:r>
            <w:r w:rsidRPr="00E544F2">
              <w:rPr>
                <w:sz w:val="20"/>
                <w:szCs w:val="20"/>
                <w:lang w:val="ru-RU"/>
              </w:rPr>
              <w:t xml:space="preserve"> 20</w:t>
            </w:r>
            <w:r>
              <w:rPr>
                <w:sz w:val="20"/>
                <w:szCs w:val="20"/>
                <w:lang w:val="ru-RU"/>
              </w:rPr>
              <w:t>1</w:t>
            </w:r>
            <w:r w:rsidRPr="00E544F2">
              <w:rPr>
                <w:sz w:val="20"/>
                <w:szCs w:val="20"/>
                <w:lang w:val="ru-RU"/>
              </w:rPr>
              <w:t>1 года (протокол №</w:t>
            </w:r>
            <w:r>
              <w:rPr>
                <w:sz w:val="20"/>
                <w:szCs w:val="20"/>
                <w:lang w:val="ru-RU"/>
              </w:rPr>
              <w:t xml:space="preserve"> 5</w:t>
            </w:r>
            <w:r w:rsidRPr="00E544F2">
              <w:rPr>
                <w:sz w:val="20"/>
                <w:szCs w:val="20"/>
                <w:lang w:val="ru-RU"/>
              </w:rPr>
              <w:t xml:space="preserve">), </w:t>
            </w:r>
          </w:p>
          <w:p w:rsidR="004A7C63" w:rsidRPr="00E544F2" w:rsidRDefault="004A7C63" w:rsidP="005A05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544F2">
              <w:rPr>
                <w:sz w:val="20"/>
                <w:szCs w:val="20"/>
                <w:lang w:val="ru-RU"/>
              </w:rPr>
              <w:t>диплом ҒК №</w:t>
            </w:r>
            <w:r>
              <w:rPr>
                <w:sz w:val="20"/>
                <w:szCs w:val="20"/>
                <w:lang w:val="ru-RU"/>
              </w:rPr>
              <w:t xml:space="preserve"> 0005977</w:t>
            </w:r>
          </w:p>
        </w:tc>
      </w:tr>
      <w:tr w:rsidR="004A7C63" w:rsidTr="003867FB">
        <w:tc>
          <w:tcPr>
            <w:tcW w:w="421" w:type="dxa"/>
          </w:tcPr>
          <w:p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9" w:type="dxa"/>
          </w:tcPr>
          <w:p w:rsidR="004A7C63" w:rsidRPr="004A7C63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Ученое звание, дата присуждения</w:t>
            </w:r>
          </w:p>
        </w:tc>
        <w:tc>
          <w:tcPr>
            <w:tcW w:w="5245" w:type="dxa"/>
            <w:vAlign w:val="center"/>
          </w:tcPr>
          <w:p w:rsidR="004A7C63" w:rsidRPr="00E544F2" w:rsidRDefault="004A7C63" w:rsidP="005A05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4A7C63" w:rsidTr="003867FB">
        <w:tc>
          <w:tcPr>
            <w:tcW w:w="421" w:type="dxa"/>
          </w:tcPr>
          <w:p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</w:tcPr>
          <w:p w:rsidR="004A7C63" w:rsidRPr="004A7C63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Почетное звание, дата присуждения</w:t>
            </w:r>
          </w:p>
        </w:tc>
        <w:tc>
          <w:tcPr>
            <w:tcW w:w="5245" w:type="dxa"/>
            <w:vAlign w:val="center"/>
          </w:tcPr>
          <w:p w:rsidR="004A7C63" w:rsidRPr="00275507" w:rsidRDefault="004A7C63" w:rsidP="005A05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  <w:bookmarkStart w:id="1" w:name="_GoBack"/>
            <w:bookmarkEnd w:id="1"/>
          </w:p>
        </w:tc>
      </w:tr>
      <w:tr w:rsidR="004A7C63" w:rsidRPr="00886E2E" w:rsidTr="003867FB">
        <w:tc>
          <w:tcPr>
            <w:tcW w:w="421" w:type="dxa"/>
          </w:tcPr>
          <w:p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969" w:type="dxa"/>
          </w:tcPr>
          <w:p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  <w:vAlign w:val="center"/>
          </w:tcPr>
          <w:p w:rsidR="004A7C63" w:rsidRPr="00E544F2" w:rsidRDefault="004A7C63" w:rsidP="005A05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Заведующий лабораторией вакуумных процессов </w:t>
            </w:r>
            <w:r>
              <w:rPr>
                <w:sz w:val="20"/>
                <w:szCs w:val="20"/>
                <w:lang w:val="ru-RU"/>
              </w:rPr>
              <w:br/>
            </w:r>
            <w:r w:rsidRPr="00886E2E">
              <w:rPr>
                <w:sz w:val="20"/>
                <w:szCs w:val="20"/>
                <w:lang w:val="ru-RU"/>
              </w:rPr>
              <w:t>(приказ № 65 л/с от 23.05.2016)</w:t>
            </w:r>
          </w:p>
        </w:tc>
      </w:tr>
      <w:tr w:rsidR="004A7C63" w:rsidRPr="00886E2E" w:rsidTr="003867FB">
        <w:tc>
          <w:tcPr>
            <w:tcW w:w="421" w:type="dxa"/>
          </w:tcPr>
          <w:p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969" w:type="dxa"/>
          </w:tcPr>
          <w:p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  <w:vAlign w:val="center"/>
          </w:tcPr>
          <w:p w:rsidR="004A7C63" w:rsidRPr="00E544F2" w:rsidRDefault="004A7C63" w:rsidP="005A05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 xml:space="preserve">Всего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– </w:t>
            </w:r>
            <w:r w:rsidRPr="00D44C62">
              <w:rPr>
                <w:color w:val="000000"/>
                <w:sz w:val="20"/>
                <w:szCs w:val="20"/>
                <w:lang w:val="ru-RU"/>
              </w:rPr>
              <w:t xml:space="preserve">16 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 xml:space="preserve">лет, в том числе в должности </w:t>
            </w:r>
            <w:r>
              <w:rPr>
                <w:color w:val="000000"/>
                <w:sz w:val="20"/>
                <w:szCs w:val="20"/>
                <w:lang w:val="ru-RU"/>
              </w:rPr>
              <w:t>заведующего лабораторией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– 8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 xml:space="preserve"> лет</w:t>
            </w:r>
          </w:p>
        </w:tc>
      </w:tr>
      <w:tr w:rsidR="004A7C63" w:rsidTr="003867FB">
        <w:tc>
          <w:tcPr>
            <w:tcW w:w="421" w:type="dxa"/>
          </w:tcPr>
          <w:p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969" w:type="dxa"/>
          </w:tcPr>
          <w:p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  <w:vAlign w:val="center"/>
          </w:tcPr>
          <w:p w:rsidR="004A7C63" w:rsidRPr="00886E2E" w:rsidRDefault="004A7C63" w:rsidP="005A05BB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 xml:space="preserve">Всего </w:t>
            </w:r>
            <w:r w:rsidRPr="00886E2E">
              <w:rPr>
                <w:color w:val="000000"/>
                <w:sz w:val="20"/>
                <w:szCs w:val="20"/>
                <w:lang w:val="ru-RU"/>
              </w:rPr>
              <w:t>опубликовано 1</w:t>
            </w:r>
            <w:r w:rsidR="00886E2E" w:rsidRPr="00886E2E">
              <w:rPr>
                <w:color w:val="000000"/>
                <w:sz w:val="20"/>
                <w:szCs w:val="20"/>
                <w:lang w:val="ru-RU"/>
              </w:rPr>
              <w:t>16</w:t>
            </w:r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научных трудов: </w:t>
            </w:r>
          </w:p>
          <w:p w:rsidR="004A7C63" w:rsidRPr="00886E2E" w:rsidRDefault="004A7C63" w:rsidP="005A05BB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886E2E">
              <w:rPr>
                <w:sz w:val="20"/>
                <w:szCs w:val="20"/>
                <w:lang w:val="ru-RU"/>
              </w:rPr>
              <w:br/>
            </w:r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в изданиях, рекомендуемых уполномоченным органом – </w:t>
            </w:r>
            <w:r w:rsidR="00886E2E" w:rsidRPr="00886E2E">
              <w:rPr>
                <w:color w:val="000000"/>
                <w:sz w:val="20"/>
                <w:szCs w:val="20"/>
                <w:lang w:val="ru-RU"/>
              </w:rPr>
              <w:t>50</w:t>
            </w:r>
            <w:r w:rsidRPr="00886E2E">
              <w:rPr>
                <w:color w:val="000000"/>
                <w:sz w:val="20"/>
                <w:szCs w:val="20"/>
                <w:lang w:val="ru-RU"/>
              </w:rPr>
              <w:t>,</w:t>
            </w:r>
          </w:p>
          <w:p w:rsidR="004A7C63" w:rsidRPr="00886E2E" w:rsidRDefault="004A7C63" w:rsidP="005A05BB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886E2E">
              <w:rPr>
                <w:sz w:val="20"/>
                <w:szCs w:val="20"/>
                <w:lang w:val="ru-RU"/>
              </w:rPr>
              <w:br/>
            </w:r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886E2E">
              <w:rPr>
                <w:color w:val="000000"/>
                <w:sz w:val="20"/>
                <w:szCs w:val="20"/>
              </w:rPr>
              <w:t>Clarivate</w:t>
            </w:r>
            <w:proofErr w:type="spellEnd"/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86E2E">
              <w:rPr>
                <w:color w:val="000000"/>
                <w:sz w:val="20"/>
                <w:szCs w:val="20"/>
              </w:rPr>
              <w:t>Analytics</w:t>
            </w:r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86E2E">
              <w:rPr>
                <w:color w:val="000000"/>
                <w:sz w:val="20"/>
                <w:szCs w:val="20"/>
                <w:lang w:val="ru-RU"/>
              </w:rPr>
              <w:t>Кларивэйт</w:t>
            </w:r>
            <w:proofErr w:type="spellEnd"/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E2E">
              <w:rPr>
                <w:color w:val="000000"/>
                <w:sz w:val="20"/>
                <w:szCs w:val="20"/>
                <w:lang w:val="ru-RU"/>
              </w:rPr>
              <w:t>Аналитикс</w:t>
            </w:r>
            <w:proofErr w:type="spellEnd"/>
            <w:r w:rsidRPr="00886E2E">
              <w:rPr>
                <w:color w:val="000000"/>
                <w:sz w:val="20"/>
                <w:szCs w:val="20"/>
                <w:lang w:val="ru-RU"/>
              </w:rPr>
              <w:t>) (</w:t>
            </w:r>
            <w:r w:rsidRPr="00886E2E">
              <w:rPr>
                <w:color w:val="000000"/>
                <w:sz w:val="20"/>
                <w:szCs w:val="20"/>
              </w:rPr>
              <w:t>Web</w:t>
            </w:r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86E2E">
              <w:rPr>
                <w:color w:val="000000"/>
                <w:sz w:val="20"/>
                <w:szCs w:val="20"/>
              </w:rPr>
              <w:t>of</w:t>
            </w:r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86E2E">
              <w:rPr>
                <w:color w:val="000000"/>
                <w:sz w:val="20"/>
                <w:szCs w:val="20"/>
              </w:rPr>
              <w:t>Science</w:t>
            </w:r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86E2E">
              <w:rPr>
                <w:color w:val="000000"/>
                <w:sz w:val="20"/>
                <w:szCs w:val="20"/>
              </w:rPr>
              <w:t>Core</w:t>
            </w:r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86E2E">
              <w:rPr>
                <w:color w:val="000000"/>
                <w:sz w:val="20"/>
                <w:szCs w:val="20"/>
              </w:rPr>
              <w:t>Collection</w:t>
            </w:r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86E2E">
              <w:rPr>
                <w:color w:val="000000"/>
                <w:sz w:val="20"/>
                <w:szCs w:val="20"/>
              </w:rPr>
              <w:t>Clarivate</w:t>
            </w:r>
            <w:proofErr w:type="spellEnd"/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86E2E">
              <w:rPr>
                <w:color w:val="000000"/>
                <w:sz w:val="20"/>
                <w:szCs w:val="20"/>
              </w:rPr>
              <w:t>Analytics</w:t>
            </w:r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86E2E">
              <w:rPr>
                <w:color w:val="000000"/>
                <w:sz w:val="20"/>
                <w:szCs w:val="20"/>
                <w:lang w:val="ru-RU"/>
              </w:rPr>
              <w:t>Вэб</w:t>
            </w:r>
            <w:proofErr w:type="spellEnd"/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оф </w:t>
            </w:r>
            <w:proofErr w:type="spellStart"/>
            <w:r w:rsidRPr="00886E2E">
              <w:rPr>
                <w:color w:val="000000"/>
                <w:sz w:val="20"/>
                <w:szCs w:val="20"/>
                <w:lang w:val="ru-RU"/>
              </w:rPr>
              <w:t>Сайнс</w:t>
            </w:r>
            <w:proofErr w:type="spellEnd"/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886E2E">
              <w:rPr>
                <w:color w:val="000000"/>
                <w:sz w:val="20"/>
                <w:szCs w:val="20"/>
                <w:lang w:val="ru-RU"/>
              </w:rPr>
              <w:t>Коллекшн</w:t>
            </w:r>
            <w:proofErr w:type="spellEnd"/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86E2E">
              <w:rPr>
                <w:color w:val="000000"/>
                <w:sz w:val="20"/>
                <w:szCs w:val="20"/>
                <w:lang w:val="ru-RU"/>
              </w:rPr>
              <w:t>Кларивэйт</w:t>
            </w:r>
            <w:proofErr w:type="spellEnd"/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E2E">
              <w:rPr>
                <w:color w:val="000000"/>
                <w:sz w:val="20"/>
                <w:szCs w:val="20"/>
                <w:lang w:val="ru-RU"/>
              </w:rPr>
              <w:t>Аналитикс</w:t>
            </w:r>
            <w:proofErr w:type="spellEnd"/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)) – </w:t>
            </w:r>
            <w:r w:rsidR="00886E2E" w:rsidRPr="00886E2E">
              <w:rPr>
                <w:color w:val="000000"/>
                <w:sz w:val="20"/>
                <w:szCs w:val="20"/>
                <w:lang w:val="ru-RU"/>
              </w:rPr>
              <w:t>21</w:t>
            </w:r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Pr="00886E2E">
              <w:rPr>
                <w:color w:val="000000"/>
                <w:sz w:val="20"/>
                <w:szCs w:val="20"/>
              </w:rPr>
              <w:t>Scopus</w:t>
            </w:r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86E2E">
              <w:rPr>
                <w:color w:val="000000"/>
                <w:sz w:val="20"/>
                <w:szCs w:val="20"/>
                <w:lang w:val="ru-RU"/>
              </w:rPr>
              <w:t>Скопус</w:t>
            </w:r>
            <w:proofErr w:type="spellEnd"/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) или </w:t>
            </w:r>
            <w:r w:rsidRPr="00886E2E">
              <w:rPr>
                <w:color w:val="000000"/>
                <w:sz w:val="20"/>
                <w:szCs w:val="20"/>
              </w:rPr>
              <w:t>JSTOR</w:t>
            </w:r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 (ДЖЕЙСТОР) – </w:t>
            </w:r>
            <w:r w:rsidR="00886E2E" w:rsidRPr="00886E2E">
              <w:rPr>
                <w:color w:val="000000"/>
                <w:sz w:val="20"/>
                <w:szCs w:val="20"/>
                <w:lang w:val="ru-RU"/>
              </w:rPr>
              <w:t>21</w:t>
            </w:r>
            <w:r w:rsidRPr="00886E2E">
              <w:rPr>
                <w:color w:val="000000"/>
                <w:sz w:val="20"/>
                <w:szCs w:val="20"/>
                <w:lang w:val="ru-RU"/>
              </w:rPr>
              <w:t>,</w:t>
            </w:r>
            <w:r w:rsidRPr="00886E2E">
              <w:rPr>
                <w:sz w:val="20"/>
                <w:szCs w:val="20"/>
                <w:lang w:val="ru-RU"/>
              </w:rPr>
              <w:br/>
            </w:r>
          </w:p>
          <w:p w:rsidR="004A7C63" w:rsidRPr="00E544F2" w:rsidRDefault="004A7C63" w:rsidP="00886E2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86E2E">
              <w:rPr>
                <w:color w:val="000000"/>
                <w:sz w:val="20"/>
                <w:szCs w:val="20"/>
                <w:lang w:val="ru-RU"/>
              </w:rPr>
              <w:t xml:space="preserve">творческих трудов – </w:t>
            </w:r>
            <w:r w:rsidR="00886E2E" w:rsidRPr="00886E2E"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</w:tr>
      <w:tr w:rsidR="004A7C63" w:rsidTr="003867FB">
        <w:tc>
          <w:tcPr>
            <w:tcW w:w="421" w:type="dxa"/>
          </w:tcPr>
          <w:p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969" w:type="dxa"/>
          </w:tcPr>
          <w:p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  <w:vAlign w:val="center"/>
          </w:tcPr>
          <w:p w:rsidR="004A7C63" w:rsidRPr="00E544F2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  <w:r w:rsidRPr="00E544F2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A7C63" w:rsidTr="003867FB">
        <w:tc>
          <w:tcPr>
            <w:tcW w:w="421" w:type="dxa"/>
          </w:tcPr>
          <w:p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969" w:type="dxa"/>
          </w:tcPr>
          <w:p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544F2">
              <w:rPr>
                <w:color w:val="000000"/>
                <w:sz w:val="20"/>
                <w:szCs w:val="20"/>
              </w:rPr>
              <w:t>PhD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E544F2">
              <w:rPr>
                <w:color w:val="000000"/>
                <w:sz w:val="20"/>
                <w:szCs w:val="20"/>
              </w:rPr>
              <w:t>PhD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E544F2">
              <w:rPr>
                <w:color w:val="000000"/>
                <w:sz w:val="20"/>
                <w:szCs w:val="20"/>
              </w:rPr>
              <w:t>PhD</w:t>
            </w:r>
            <w:r w:rsidRPr="00E544F2">
              <w:rPr>
                <w:color w:val="000000"/>
                <w:sz w:val="20"/>
                <w:szCs w:val="20"/>
                <w:lang w:val="ru-RU"/>
              </w:rPr>
              <w:t>), доктора по профилю</w:t>
            </w:r>
          </w:p>
        </w:tc>
        <w:tc>
          <w:tcPr>
            <w:tcW w:w="5245" w:type="dxa"/>
            <w:vAlign w:val="center"/>
          </w:tcPr>
          <w:p w:rsidR="004A7C63" w:rsidRPr="00E544F2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4A7C63" w:rsidTr="003867FB">
        <w:tc>
          <w:tcPr>
            <w:tcW w:w="421" w:type="dxa"/>
          </w:tcPr>
          <w:p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969" w:type="dxa"/>
          </w:tcPr>
          <w:p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</w:t>
            </w:r>
            <w:r>
              <w:rPr>
                <w:color w:val="000000"/>
                <w:sz w:val="20"/>
                <w:szCs w:val="20"/>
                <w:lang w:val="ru-RU"/>
              </w:rPr>
              <w:t>к, фестивалей, премий, олимпиад</w:t>
            </w:r>
          </w:p>
        </w:tc>
        <w:tc>
          <w:tcPr>
            <w:tcW w:w="5245" w:type="dxa"/>
            <w:vAlign w:val="center"/>
          </w:tcPr>
          <w:p w:rsidR="004A7C63" w:rsidRPr="007C21F7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4A7C63" w:rsidTr="003867FB">
        <w:tc>
          <w:tcPr>
            <w:tcW w:w="421" w:type="dxa"/>
          </w:tcPr>
          <w:p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969" w:type="dxa"/>
          </w:tcPr>
          <w:p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E544F2">
              <w:rPr>
                <w:color w:val="000000"/>
                <w:sz w:val="20"/>
                <w:szCs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  <w:vAlign w:val="center"/>
          </w:tcPr>
          <w:p w:rsidR="004A7C63" w:rsidRPr="007C21F7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4A7C63" w:rsidRPr="00886E2E" w:rsidTr="003867FB">
        <w:tc>
          <w:tcPr>
            <w:tcW w:w="421" w:type="dxa"/>
          </w:tcPr>
          <w:p w:rsidR="004A7C63" w:rsidRDefault="004A7C63" w:rsidP="005A05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969" w:type="dxa"/>
          </w:tcPr>
          <w:p w:rsidR="004A7C63" w:rsidRPr="00E544F2" w:rsidRDefault="004A7C63" w:rsidP="005A05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Дополнительная информация</w:t>
            </w:r>
          </w:p>
        </w:tc>
        <w:tc>
          <w:tcPr>
            <w:tcW w:w="5245" w:type="dxa"/>
            <w:vAlign w:val="center"/>
          </w:tcPr>
          <w:p w:rsidR="004A7C63" w:rsidRPr="00886E2E" w:rsidRDefault="004A7C63" w:rsidP="00886E2E">
            <w:pPr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Ниценко А.В. принята</w:t>
            </w:r>
            <w:r w:rsidRPr="00E544F2">
              <w:rPr>
                <w:sz w:val="20"/>
                <w:szCs w:val="20"/>
                <w:lang w:val="ru-RU"/>
              </w:rPr>
              <w:t xml:space="preserve"> на работу в </w:t>
            </w:r>
            <w:r>
              <w:rPr>
                <w:sz w:val="20"/>
                <w:szCs w:val="20"/>
                <w:lang w:val="ru-RU"/>
              </w:rPr>
              <w:t>АО «</w:t>
            </w:r>
            <w:r w:rsidRPr="00E544F2">
              <w:rPr>
                <w:sz w:val="20"/>
                <w:szCs w:val="20"/>
                <w:lang w:val="ru-RU"/>
              </w:rPr>
              <w:t>Институт металлургии и обогащения</w:t>
            </w:r>
            <w:r>
              <w:rPr>
                <w:sz w:val="20"/>
                <w:szCs w:val="20"/>
                <w:lang w:val="ru-RU"/>
              </w:rPr>
              <w:t>» в 2008 году</w:t>
            </w:r>
            <w:r w:rsidRPr="00E544F2">
              <w:rPr>
                <w:sz w:val="20"/>
                <w:szCs w:val="20"/>
                <w:lang w:val="ru-RU"/>
              </w:rPr>
              <w:t xml:space="preserve"> на должность </w:t>
            </w:r>
            <w:r w:rsidRPr="00E544F2">
              <w:rPr>
                <w:sz w:val="20"/>
                <w:szCs w:val="20"/>
                <w:lang w:val="ru-RU"/>
              </w:rPr>
              <w:lastRenderedPageBreak/>
              <w:t>инженера</w:t>
            </w:r>
            <w:r>
              <w:rPr>
                <w:sz w:val="20"/>
                <w:szCs w:val="20"/>
                <w:lang w:val="ru-RU"/>
              </w:rPr>
              <w:t xml:space="preserve"> лаборатории вакуумных процессов. В 2010 году по результатам аттестации переведена на должность инженера 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86E2E">
              <w:rPr>
                <w:sz w:val="20"/>
                <w:szCs w:val="20"/>
                <w:lang w:val="ru-RU"/>
              </w:rPr>
              <w:t xml:space="preserve">категории (приказ № 202 от 21.10.2010 г.), в 2011 году </w:t>
            </w:r>
            <w:r w:rsidRPr="00886E2E">
              <w:rPr>
                <w:sz w:val="20"/>
                <w:szCs w:val="20"/>
                <w:lang w:val="ru-RU"/>
              </w:rPr>
              <w:softHyphen/>
              <w:t>– на должность старшего научного сотрудника (приказ № 212 от 23.11.2011 г.), а в 2016 – на должность заведующего лабораторией вакуумных процессов (приказ № 65 л/с от 23.05.2016).</w:t>
            </w:r>
          </w:p>
          <w:p w:rsidR="004A7C63" w:rsidRPr="00E76697" w:rsidRDefault="004A7C63" w:rsidP="00886E2E">
            <w:pPr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sz w:val="20"/>
                <w:szCs w:val="20"/>
                <w:lang w:val="ru-RU"/>
              </w:rPr>
            </w:pPr>
            <w:r w:rsidRPr="00886E2E">
              <w:rPr>
                <w:sz w:val="20"/>
                <w:szCs w:val="20"/>
                <w:lang w:val="ru-RU"/>
              </w:rPr>
              <w:t>Ниценко А. В. является</w:t>
            </w:r>
            <w:r w:rsidRPr="00E76697">
              <w:rPr>
                <w:sz w:val="20"/>
                <w:szCs w:val="20"/>
                <w:lang w:val="ru-RU"/>
              </w:rPr>
              <w:t xml:space="preserve"> опытным, и</w:t>
            </w:r>
            <w:r>
              <w:rPr>
                <w:sz w:val="20"/>
                <w:szCs w:val="20"/>
                <w:lang w:val="ru-RU"/>
              </w:rPr>
              <w:t>нициативным и высококвалифициро</w:t>
            </w:r>
            <w:r w:rsidRPr="00E76697">
              <w:rPr>
                <w:sz w:val="20"/>
                <w:szCs w:val="20"/>
                <w:lang w:val="ru-RU"/>
              </w:rPr>
              <w:t>ванным работником, обладающим организационными способностями и эрудицией в различных областях. Имеет опыт работы в организации работы лаборатории, проведении научных исследований и выполнении научно-технических разработок; обеспечении высокого качества и своевременности выполнения работ в соответствии с действующими стандартами и в соответствии с современными достижениями науки и техники.</w:t>
            </w:r>
          </w:p>
          <w:p w:rsidR="004A7C63" w:rsidRDefault="004A7C63" w:rsidP="00886E2E">
            <w:pPr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протяжении своей карьеры является как исполнителем, так и ответственным исполнителем научных проектов, выполняемых лабораторией вакуумных процессов. С 2012 года являлась руководителем </w:t>
            </w:r>
            <w:r w:rsidR="00332418">
              <w:rPr>
                <w:sz w:val="20"/>
                <w:szCs w:val="20"/>
                <w:lang w:val="ru-RU"/>
              </w:rPr>
              <w:t>следующих</w:t>
            </w:r>
            <w:r>
              <w:rPr>
                <w:sz w:val="20"/>
                <w:szCs w:val="20"/>
                <w:lang w:val="ru-RU"/>
              </w:rPr>
              <w:t xml:space="preserve"> научно-исследовательских работ:</w:t>
            </w:r>
          </w:p>
          <w:p w:rsidR="004A7C63" w:rsidRDefault="004A7C63" w:rsidP="00886E2E">
            <w:pPr>
              <w:tabs>
                <w:tab w:val="left" w:pos="601"/>
              </w:tabs>
              <w:spacing w:after="0" w:line="240" w:lineRule="auto"/>
              <w:ind w:firstLine="31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proofErr w:type="gramStart"/>
            <w:r w:rsidR="00886E2E">
              <w:rPr>
                <w:sz w:val="20"/>
                <w:szCs w:val="20"/>
                <w:lang w:val="ru-RU"/>
              </w:rPr>
              <w:tab/>
              <w:t>«</w:t>
            </w:r>
            <w:proofErr w:type="gramEnd"/>
            <w:r w:rsidRPr="00E76697">
              <w:rPr>
                <w:sz w:val="20"/>
                <w:szCs w:val="20"/>
                <w:lang w:val="ru-RU"/>
              </w:rPr>
              <w:t>Исследование закономерностей процессов диффузии паров мышьяка через пористые материалы при пониженном давлении</w:t>
            </w:r>
            <w:r>
              <w:rPr>
                <w:sz w:val="20"/>
                <w:szCs w:val="20"/>
                <w:lang w:val="ru-RU"/>
              </w:rPr>
              <w:t>» (</w:t>
            </w:r>
            <w:r w:rsidRPr="00E76697">
              <w:rPr>
                <w:sz w:val="20"/>
                <w:szCs w:val="20"/>
                <w:lang w:val="ru-RU"/>
              </w:rPr>
              <w:t>Грантовое финансирование научно-технических программ и проектов на 2012-2014 гг.</w:t>
            </w:r>
            <w:r>
              <w:rPr>
                <w:sz w:val="20"/>
                <w:szCs w:val="20"/>
                <w:lang w:val="ru-RU"/>
              </w:rPr>
              <w:t>)</w:t>
            </w:r>
          </w:p>
          <w:p w:rsidR="004A7C63" w:rsidRDefault="004A7C63" w:rsidP="00886E2E">
            <w:pPr>
              <w:tabs>
                <w:tab w:val="left" w:pos="601"/>
              </w:tabs>
              <w:spacing w:after="0" w:line="240" w:lineRule="auto"/>
              <w:ind w:firstLine="31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886E2E">
              <w:rPr>
                <w:sz w:val="20"/>
                <w:szCs w:val="20"/>
                <w:lang w:val="ru-RU"/>
              </w:rPr>
              <w:tab/>
            </w:r>
            <w:r>
              <w:rPr>
                <w:sz w:val="20"/>
                <w:szCs w:val="20"/>
                <w:lang w:val="ru-RU"/>
              </w:rPr>
              <w:t>1293/ГФ4 «Исследование кинетических закономерностей процессов термического разложения сульфоарсенидов меди и никеля при пониженном давлении» (</w:t>
            </w:r>
            <w:r w:rsidRPr="00175C06">
              <w:rPr>
                <w:sz w:val="20"/>
                <w:szCs w:val="20"/>
                <w:lang w:val="ru-RU"/>
              </w:rPr>
              <w:t>Грантовое финансирование научных исследований на 2015-2017 гг.</w:t>
            </w:r>
            <w:r>
              <w:rPr>
                <w:sz w:val="20"/>
                <w:szCs w:val="20"/>
                <w:lang w:val="ru-RU"/>
              </w:rPr>
              <w:t>)</w:t>
            </w:r>
          </w:p>
          <w:p w:rsidR="004A7C63" w:rsidRPr="00886E2E" w:rsidRDefault="004A7C63" w:rsidP="00886E2E">
            <w:pPr>
              <w:tabs>
                <w:tab w:val="left" w:pos="601"/>
              </w:tabs>
              <w:spacing w:after="0" w:line="240" w:lineRule="auto"/>
              <w:ind w:firstLine="31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175C06">
              <w:rPr>
                <w:sz w:val="20"/>
                <w:szCs w:val="20"/>
                <w:lang w:val="ru-RU"/>
              </w:rPr>
              <w:t>АР08052016</w:t>
            </w:r>
            <w:r>
              <w:rPr>
                <w:sz w:val="20"/>
                <w:szCs w:val="20"/>
                <w:lang w:val="ru-RU"/>
              </w:rPr>
              <w:t xml:space="preserve"> «</w:t>
            </w:r>
            <w:r w:rsidRPr="00175C06">
              <w:rPr>
                <w:sz w:val="20"/>
                <w:szCs w:val="20"/>
                <w:lang w:val="ru-RU"/>
              </w:rPr>
              <w:t xml:space="preserve">Разработка технологии разделения теллурида меди с </w:t>
            </w:r>
            <w:r w:rsidRPr="00886E2E">
              <w:rPr>
                <w:sz w:val="20"/>
                <w:szCs w:val="20"/>
                <w:lang w:val="ru-RU"/>
              </w:rPr>
              <w:t xml:space="preserve">получением элементного теллура» (Грантовое финансирование </w:t>
            </w:r>
            <w:r w:rsidR="00886E2E" w:rsidRPr="00886E2E">
              <w:rPr>
                <w:sz w:val="20"/>
                <w:szCs w:val="20"/>
                <w:lang w:val="ru-RU"/>
              </w:rPr>
              <w:t xml:space="preserve">молодых ученых по </w:t>
            </w:r>
            <w:r w:rsidRPr="00886E2E">
              <w:rPr>
                <w:sz w:val="20"/>
                <w:szCs w:val="20"/>
                <w:lang w:val="ru-RU"/>
              </w:rPr>
              <w:t>научны</w:t>
            </w:r>
            <w:r w:rsidR="00886E2E" w:rsidRPr="00886E2E">
              <w:rPr>
                <w:sz w:val="20"/>
                <w:szCs w:val="20"/>
                <w:lang w:val="ru-RU"/>
              </w:rPr>
              <w:t>м и (или) научно-техническим</w:t>
            </w:r>
            <w:r w:rsidRPr="00886E2E">
              <w:rPr>
                <w:sz w:val="20"/>
                <w:szCs w:val="20"/>
                <w:lang w:val="ru-RU"/>
              </w:rPr>
              <w:t xml:space="preserve"> </w:t>
            </w:r>
            <w:r w:rsidR="00886E2E" w:rsidRPr="00886E2E">
              <w:rPr>
                <w:sz w:val="20"/>
                <w:szCs w:val="20"/>
                <w:lang w:val="ru-RU"/>
              </w:rPr>
              <w:t>проектам</w:t>
            </w:r>
            <w:r w:rsidRPr="00886E2E">
              <w:rPr>
                <w:sz w:val="20"/>
                <w:szCs w:val="20"/>
                <w:lang w:val="ru-RU"/>
              </w:rPr>
              <w:t xml:space="preserve"> на 2020-2022 гг.)</w:t>
            </w:r>
          </w:p>
          <w:p w:rsidR="004A7C63" w:rsidRPr="00886E2E" w:rsidRDefault="004A7C63" w:rsidP="00886E2E">
            <w:pPr>
              <w:tabs>
                <w:tab w:val="left" w:pos="993"/>
              </w:tabs>
              <w:spacing w:after="0" w:line="240" w:lineRule="auto"/>
              <w:ind w:firstLine="317"/>
              <w:jc w:val="both"/>
              <w:rPr>
                <w:sz w:val="20"/>
                <w:szCs w:val="20"/>
                <w:lang w:val="ru-RU"/>
              </w:rPr>
            </w:pPr>
            <w:r w:rsidRPr="00886E2E">
              <w:rPr>
                <w:sz w:val="20"/>
                <w:szCs w:val="20"/>
                <w:lang w:val="ru-RU"/>
              </w:rPr>
              <w:t>В настоящее время является руководителем проекта АР19576910 «Исследование процесса пиролиза теллурсодержащих соединений меди с извлечением теллура» (</w:t>
            </w:r>
            <w:r w:rsidR="00886E2E" w:rsidRPr="00886E2E">
              <w:rPr>
                <w:sz w:val="20"/>
                <w:szCs w:val="20"/>
                <w:lang w:val="ru-RU"/>
              </w:rPr>
              <w:t xml:space="preserve">Грантовое финансирование молодых ученых по научным и (или) научно-техническим проектам на </w:t>
            </w:r>
            <w:r w:rsidRPr="00886E2E">
              <w:rPr>
                <w:sz w:val="20"/>
                <w:szCs w:val="20"/>
                <w:lang w:val="ru-RU"/>
              </w:rPr>
              <w:t>2023-2025 гг.)</w:t>
            </w:r>
          </w:p>
          <w:p w:rsidR="004A7C63" w:rsidRPr="00E544F2" w:rsidRDefault="004A7C63" w:rsidP="00886E2E">
            <w:pPr>
              <w:spacing w:after="0" w:line="240" w:lineRule="auto"/>
              <w:ind w:firstLine="317"/>
              <w:jc w:val="both"/>
              <w:rPr>
                <w:sz w:val="20"/>
                <w:szCs w:val="20"/>
                <w:lang w:val="ru-RU"/>
              </w:rPr>
            </w:pPr>
            <w:r w:rsidRPr="00886E2E">
              <w:rPr>
                <w:sz w:val="20"/>
                <w:szCs w:val="20"/>
                <w:lang w:val="ru-RU"/>
              </w:rPr>
              <w:t>Научная специализация соискателя – металлургия цветных и редких металлов</w:t>
            </w:r>
            <w:r w:rsidRPr="00175C06">
              <w:rPr>
                <w:sz w:val="20"/>
                <w:szCs w:val="20"/>
                <w:lang w:val="ru-RU"/>
              </w:rPr>
              <w:t>, теория и практика вакуумной металлургии</w:t>
            </w:r>
            <w:r w:rsidRPr="00E544F2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Ниценко А.В.</w:t>
            </w:r>
            <w:r w:rsidRPr="00E544F2">
              <w:rPr>
                <w:sz w:val="20"/>
                <w:szCs w:val="20"/>
                <w:lang w:val="ru-RU"/>
              </w:rPr>
              <w:t xml:space="preserve"> является хорошим организатором, отличается изобретательностью в разработке методик, постановке исследований и реализации те</w:t>
            </w:r>
            <w:r w:rsidR="00886E2E">
              <w:rPr>
                <w:sz w:val="20"/>
                <w:szCs w:val="20"/>
                <w:lang w:val="ru-RU"/>
              </w:rPr>
              <w:t>хнических решений.</w:t>
            </w:r>
          </w:p>
        </w:tc>
      </w:tr>
    </w:tbl>
    <w:p w:rsidR="00AE3524" w:rsidRPr="004A7C63" w:rsidRDefault="00AE3524" w:rsidP="00275507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</w:p>
    <w:p w:rsidR="004A7C63" w:rsidRPr="004A7C63" w:rsidRDefault="004A7C63" w:rsidP="00275507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</w:p>
    <w:p w:rsidR="004A7C63" w:rsidRPr="004A7C63" w:rsidRDefault="004A7C63" w:rsidP="00275507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</w:p>
    <w:p w:rsidR="004A7C63" w:rsidRDefault="004A7C63" w:rsidP="00275507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</w:p>
    <w:p w:rsidR="00175C06" w:rsidRDefault="00175C06" w:rsidP="00275507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</w:p>
    <w:p w:rsidR="00175C06" w:rsidRPr="00E544F2" w:rsidRDefault="00175C06" w:rsidP="00275507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</w:p>
    <w:p w:rsidR="00AE3524" w:rsidRPr="00B40B63" w:rsidRDefault="00AE3524" w:rsidP="00B40B63">
      <w:pPr>
        <w:spacing w:after="0" w:line="240" w:lineRule="auto"/>
        <w:ind w:left="426" w:right="-1"/>
        <w:jc w:val="both"/>
        <w:rPr>
          <w:color w:val="000000"/>
          <w:sz w:val="24"/>
          <w:szCs w:val="24"/>
          <w:lang w:val="ru-RU"/>
        </w:rPr>
      </w:pPr>
      <w:r w:rsidRPr="00B40B63">
        <w:rPr>
          <w:color w:val="000000"/>
          <w:sz w:val="24"/>
          <w:szCs w:val="24"/>
          <w:lang w:val="ru-RU"/>
        </w:rPr>
        <w:t xml:space="preserve">Генеральный директор – </w:t>
      </w:r>
    </w:p>
    <w:p w:rsidR="00175C06" w:rsidRPr="00B40B63" w:rsidRDefault="00AE3524" w:rsidP="00B40B63">
      <w:pPr>
        <w:spacing w:after="0" w:line="240" w:lineRule="auto"/>
        <w:ind w:left="426" w:right="-1"/>
        <w:jc w:val="both"/>
        <w:rPr>
          <w:color w:val="000000"/>
          <w:sz w:val="24"/>
          <w:szCs w:val="24"/>
          <w:lang w:val="ru-RU"/>
        </w:rPr>
      </w:pPr>
      <w:r w:rsidRPr="00B40B63">
        <w:rPr>
          <w:color w:val="000000"/>
          <w:sz w:val="24"/>
          <w:szCs w:val="24"/>
          <w:lang w:val="ru-RU"/>
        </w:rPr>
        <w:t>Председатель Правления</w:t>
      </w:r>
      <w:r w:rsidR="00175C06" w:rsidRPr="00B40B63">
        <w:rPr>
          <w:color w:val="000000"/>
          <w:sz w:val="24"/>
          <w:szCs w:val="24"/>
          <w:lang w:val="ru-RU"/>
        </w:rPr>
        <w:t xml:space="preserve"> АО «ИМиО»</w:t>
      </w:r>
      <w:r w:rsidRPr="00B40B63">
        <w:rPr>
          <w:color w:val="000000"/>
          <w:sz w:val="24"/>
          <w:szCs w:val="24"/>
          <w:lang w:val="ru-RU"/>
        </w:rPr>
        <w:t xml:space="preserve">, </w:t>
      </w:r>
    </w:p>
    <w:p w:rsidR="00CD0095" w:rsidRPr="00B40B63" w:rsidRDefault="00AE3524" w:rsidP="00B40B63">
      <w:pPr>
        <w:tabs>
          <w:tab w:val="left" w:pos="7230"/>
        </w:tabs>
        <w:spacing w:after="0" w:line="240" w:lineRule="auto"/>
        <w:ind w:left="426" w:right="-1"/>
        <w:jc w:val="both"/>
        <w:rPr>
          <w:sz w:val="24"/>
          <w:szCs w:val="24"/>
          <w:lang w:val="ru-RU"/>
        </w:rPr>
      </w:pPr>
      <w:r w:rsidRPr="00B40B63">
        <w:rPr>
          <w:color w:val="000000"/>
          <w:sz w:val="24"/>
          <w:szCs w:val="24"/>
          <w:lang w:val="ru-RU"/>
        </w:rPr>
        <w:t xml:space="preserve">д.т.н., </w:t>
      </w:r>
      <w:r w:rsidR="00175C06" w:rsidRPr="00B40B63">
        <w:rPr>
          <w:color w:val="000000"/>
          <w:sz w:val="24"/>
          <w:szCs w:val="24"/>
          <w:lang w:val="ru-RU"/>
        </w:rPr>
        <w:t>профессор</w:t>
      </w:r>
      <w:r w:rsidR="00175C06" w:rsidRPr="00B40B63">
        <w:rPr>
          <w:color w:val="000000"/>
          <w:sz w:val="24"/>
          <w:szCs w:val="24"/>
          <w:lang w:val="ru-RU"/>
        </w:rPr>
        <w:tab/>
      </w:r>
      <w:r w:rsidRPr="00B40B63">
        <w:rPr>
          <w:color w:val="000000"/>
          <w:sz w:val="24"/>
          <w:szCs w:val="24"/>
          <w:lang w:val="ru-RU"/>
        </w:rPr>
        <w:t>Б.К. Кенжалиев</w:t>
      </w:r>
    </w:p>
    <w:p w:rsidR="00D518B8" w:rsidRDefault="003867FB" w:rsidP="00275507">
      <w:pPr>
        <w:spacing w:after="0" w:line="240" w:lineRule="auto"/>
        <w:rPr>
          <w:sz w:val="20"/>
          <w:szCs w:val="20"/>
          <w:lang w:val="ru-RU"/>
        </w:rPr>
      </w:pPr>
    </w:p>
    <w:p w:rsidR="007417DA" w:rsidRDefault="007417DA" w:rsidP="00275507">
      <w:pPr>
        <w:spacing w:after="0" w:line="240" w:lineRule="auto"/>
        <w:rPr>
          <w:sz w:val="20"/>
          <w:szCs w:val="20"/>
          <w:lang w:val="ru-RU"/>
        </w:rPr>
      </w:pPr>
    </w:p>
    <w:p w:rsidR="007417DA" w:rsidRDefault="007417DA" w:rsidP="00275507">
      <w:pPr>
        <w:spacing w:after="0" w:line="240" w:lineRule="auto"/>
        <w:rPr>
          <w:sz w:val="20"/>
          <w:szCs w:val="20"/>
          <w:lang w:val="ru-RU"/>
        </w:rPr>
      </w:pPr>
    </w:p>
    <w:p w:rsidR="007417DA" w:rsidRPr="00E544F2" w:rsidRDefault="007417DA" w:rsidP="00275507">
      <w:pPr>
        <w:spacing w:after="0" w:line="240" w:lineRule="auto"/>
        <w:rPr>
          <w:sz w:val="20"/>
          <w:szCs w:val="20"/>
          <w:lang w:val="ru-RU"/>
        </w:rPr>
      </w:pPr>
    </w:p>
    <w:sectPr w:rsidR="007417DA" w:rsidRPr="00E544F2" w:rsidSect="003867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95"/>
    <w:rsid w:val="00005C2F"/>
    <w:rsid w:val="000128C2"/>
    <w:rsid w:val="00024CC7"/>
    <w:rsid w:val="000E40FA"/>
    <w:rsid w:val="00175C06"/>
    <w:rsid w:val="001837AC"/>
    <w:rsid w:val="002550E1"/>
    <w:rsid w:val="00275507"/>
    <w:rsid w:val="00276B6C"/>
    <w:rsid w:val="00323C32"/>
    <w:rsid w:val="00332418"/>
    <w:rsid w:val="003867FB"/>
    <w:rsid w:val="003A7D44"/>
    <w:rsid w:val="004213B8"/>
    <w:rsid w:val="00443CCC"/>
    <w:rsid w:val="004A7C63"/>
    <w:rsid w:val="005351D7"/>
    <w:rsid w:val="005A05BB"/>
    <w:rsid w:val="006C0D7C"/>
    <w:rsid w:val="007417DA"/>
    <w:rsid w:val="007B4181"/>
    <w:rsid w:val="007C21F7"/>
    <w:rsid w:val="00886E2E"/>
    <w:rsid w:val="008D5096"/>
    <w:rsid w:val="00A904DC"/>
    <w:rsid w:val="00AD31EF"/>
    <w:rsid w:val="00AE3524"/>
    <w:rsid w:val="00B40B63"/>
    <w:rsid w:val="00B71A67"/>
    <w:rsid w:val="00C14691"/>
    <w:rsid w:val="00C1732A"/>
    <w:rsid w:val="00CD0095"/>
    <w:rsid w:val="00D15161"/>
    <w:rsid w:val="00D44C62"/>
    <w:rsid w:val="00D66DE5"/>
    <w:rsid w:val="00E544F2"/>
    <w:rsid w:val="00E76697"/>
    <w:rsid w:val="00F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D0AA3-1AEE-490E-B0FF-A99FF8D5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9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6DE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HTML">
    <w:name w:val="HTML Cite"/>
    <w:rsid w:val="00C14691"/>
    <w:rPr>
      <w:i/>
      <w:iCs/>
    </w:rPr>
  </w:style>
  <w:style w:type="character" w:customStyle="1" w:styleId="s0">
    <w:name w:val="s0"/>
    <w:rsid w:val="00C1469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table" w:styleId="a4">
    <w:name w:val="Table Grid"/>
    <w:basedOn w:val="a1"/>
    <w:uiPriority w:val="39"/>
    <w:rsid w:val="0074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7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Nitsenko Alina</cp:lastModifiedBy>
  <cp:revision>6</cp:revision>
  <cp:lastPrinted>2025-01-30T11:30:00Z</cp:lastPrinted>
  <dcterms:created xsi:type="dcterms:W3CDTF">2025-01-21T12:12:00Z</dcterms:created>
  <dcterms:modified xsi:type="dcterms:W3CDTF">2025-01-30T11:31:00Z</dcterms:modified>
</cp:coreProperties>
</file>